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75" w:rsidRDefault="00556975"/>
    <w:p w:rsidR="00556975" w:rsidRDefault="00D00CAD">
      <w:r>
        <w:rPr>
          <w:noProof/>
          <w:lang w:val="en-US"/>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624840</wp:posOffset>
            </wp:positionV>
            <wp:extent cx="1334135" cy="1382395"/>
            <wp:effectExtent l="19050" t="0" r="0" b="0"/>
            <wp:wrapSquare wrapText="bothSides"/>
            <wp:docPr id="7" name="Picture 7" descr="logo-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aib"/>
                    <pic:cNvPicPr>
                      <a:picLocks noChangeAspect="1" noChangeArrowheads="1"/>
                    </pic:cNvPicPr>
                  </pic:nvPicPr>
                  <pic:blipFill>
                    <a:blip r:embed="rId8" cstate="print"/>
                    <a:srcRect/>
                    <a:stretch>
                      <a:fillRect/>
                    </a:stretch>
                  </pic:blipFill>
                  <pic:spPr bwMode="auto">
                    <a:xfrm>
                      <a:off x="0" y="0"/>
                      <a:ext cx="1334135" cy="1382395"/>
                    </a:xfrm>
                    <a:prstGeom prst="rect">
                      <a:avLst/>
                    </a:prstGeom>
                    <a:noFill/>
                    <a:ln w="9525">
                      <a:noFill/>
                      <a:miter lim="800000"/>
                      <a:headEnd/>
                      <a:tailEnd/>
                    </a:ln>
                  </pic:spPr>
                </pic:pic>
              </a:graphicData>
            </a:graphic>
          </wp:anchor>
        </w:drawing>
      </w:r>
      <w:r w:rsidR="009E3D85">
        <w:rPr>
          <w:noProof/>
          <w:lang w:val="en-US"/>
        </w:rPr>
        <w:t>`</w:t>
      </w:r>
      <w:r>
        <w:rPr>
          <w:noProof/>
          <w:lang w:val="en-US"/>
        </w:rPr>
        <w:drawing>
          <wp:inline distT="0" distB="0" distL="0" distR="0">
            <wp:extent cx="1666875" cy="2457450"/>
            <wp:effectExtent l="19050" t="0" r="9525" b="0"/>
            <wp:docPr id="1" name="Picture 1" descr="Resize of Resize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of Resize of art"/>
                    <pic:cNvPicPr>
                      <a:picLocks noChangeAspect="1" noChangeArrowheads="1"/>
                    </pic:cNvPicPr>
                  </pic:nvPicPr>
                  <pic:blipFill>
                    <a:blip r:embed="rId9" cstate="print"/>
                    <a:srcRect/>
                    <a:stretch>
                      <a:fillRect/>
                    </a:stretch>
                  </pic:blipFill>
                  <pic:spPr bwMode="auto">
                    <a:xfrm>
                      <a:off x="0" y="0"/>
                      <a:ext cx="1666875" cy="2457450"/>
                    </a:xfrm>
                    <a:prstGeom prst="rect">
                      <a:avLst/>
                    </a:prstGeom>
                    <a:noFill/>
                    <a:ln w="9525">
                      <a:noFill/>
                      <a:miter lim="800000"/>
                      <a:headEnd/>
                      <a:tailEnd/>
                    </a:ln>
                  </pic:spPr>
                </pic:pic>
              </a:graphicData>
            </a:graphic>
          </wp:inline>
        </w:drawing>
      </w:r>
    </w:p>
    <w:p w:rsidR="00547066" w:rsidRDefault="00547066">
      <w:pPr>
        <w:rPr>
          <w:rFonts w:ascii="Arial" w:hAnsi="Arial" w:cs="Arial"/>
          <w:b/>
          <w:bCs/>
          <w:color w:val="000000"/>
        </w:rPr>
      </w:pPr>
    </w:p>
    <w:p w:rsidR="00C03F32" w:rsidRDefault="00C03F32" w:rsidP="00C03F32">
      <w:pPr>
        <w:rPr>
          <w:rFonts w:ascii="Arial" w:hAnsi="Arial" w:cs="Arial"/>
          <w:b/>
          <w:bCs/>
          <w:lang w:val="en-US"/>
        </w:rPr>
      </w:pPr>
    </w:p>
    <w:p w:rsidR="006B7035" w:rsidRPr="00E26ECB" w:rsidRDefault="006B7035" w:rsidP="00C03F32">
      <w:pPr>
        <w:rPr>
          <w:rFonts w:ascii="Arial" w:hAnsi="Arial" w:cs="Arial"/>
          <w:b/>
          <w:bCs/>
          <w:lang w:val="en-US"/>
        </w:rPr>
      </w:pPr>
    </w:p>
    <w:p w:rsidR="006B7035" w:rsidRPr="00E26ECB" w:rsidRDefault="006B7035" w:rsidP="00C03F32">
      <w:pPr>
        <w:rPr>
          <w:rFonts w:ascii="Arial" w:hAnsi="Arial" w:cs="Arial"/>
          <w:b/>
          <w:bCs/>
          <w:lang w:val="en-US"/>
        </w:rPr>
      </w:pPr>
    </w:p>
    <w:p w:rsidR="006B7035" w:rsidRPr="00E26ECB" w:rsidRDefault="006B7035" w:rsidP="00C03F32">
      <w:pPr>
        <w:rPr>
          <w:rFonts w:ascii="Arial" w:hAnsi="Arial" w:cs="Arial"/>
          <w:b/>
          <w:bCs/>
          <w:lang w:val="en-US"/>
        </w:rPr>
      </w:pPr>
    </w:p>
    <w:p w:rsidR="006B7035" w:rsidRPr="00927160" w:rsidRDefault="00D00CAD" w:rsidP="006B7035">
      <w:pPr>
        <w:rPr>
          <w:rFonts w:ascii="Arial" w:hAnsi="Arial" w:cs="Arial"/>
          <w:b/>
          <w:bCs/>
          <w:lang w:val="en-CA"/>
        </w:rPr>
      </w:pPr>
      <w:r>
        <w:rPr>
          <w:rFonts w:ascii="Arial" w:hAnsi="Arial" w:cs="Arial"/>
          <w:iCs/>
          <w:noProof/>
          <w:lang w:val="en-US"/>
        </w:rPr>
        <w:drawing>
          <wp:anchor distT="0" distB="0" distL="114300" distR="114300" simplePos="0" relativeHeight="251657216" behindDoc="1" locked="0" layoutInCell="1" allowOverlap="1">
            <wp:simplePos x="0" y="0"/>
            <wp:positionH relativeFrom="column">
              <wp:posOffset>6743700</wp:posOffset>
            </wp:positionH>
            <wp:positionV relativeFrom="paragraph">
              <wp:posOffset>144780</wp:posOffset>
            </wp:positionV>
            <wp:extent cx="1353820" cy="184594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53820" cy="1845945"/>
                    </a:xfrm>
                    <a:prstGeom prst="rect">
                      <a:avLst/>
                    </a:prstGeom>
                    <a:noFill/>
                    <a:ln w="6350" algn="ctr">
                      <a:noFill/>
                      <a:miter lim="800000"/>
                      <a:headEnd/>
                      <a:tailEnd/>
                    </a:ln>
                    <a:effectLst/>
                  </pic:spPr>
                </pic:pic>
              </a:graphicData>
            </a:graphic>
          </wp:anchor>
        </w:drawing>
      </w:r>
    </w:p>
    <w:p w:rsidR="00547066" w:rsidRDefault="00B12420" w:rsidP="0091262A">
      <w:pPr>
        <w:jc w:val="both"/>
        <w:rPr>
          <w:rFonts w:ascii="Arial" w:hAnsi="Arial" w:cs="Arial"/>
          <w:b/>
          <w:bCs/>
          <w:lang w:val="en-US"/>
        </w:rPr>
      </w:pPr>
      <w:r>
        <w:rPr>
          <w:rFonts w:ascii="Arial" w:hAnsi="Arial" w:cs="Arial"/>
          <w:b/>
          <w:bCs/>
          <w:lang w:val="en-US"/>
        </w:rPr>
        <w:t xml:space="preserve"> Art </w:t>
      </w:r>
      <w:proofErr w:type="spellStart"/>
      <w:r>
        <w:rPr>
          <w:rFonts w:ascii="Arial" w:hAnsi="Arial" w:cs="Arial"/>
          <w:b/>
          <w:bCs/>
          <w:lang w:val="en-US"/>
        </w:rPr>
        <w:t>Franczek</w:t>
      </w:r>
      <w:proofErr w:type="spellEnd"/>
      <w:r>
        <w:rPr>
          <w:rFonts w:ascii="Arial" w:hAnsi="Arial" w:cs="Arial"/>
          <w:b/>
          <w:bCs/>
          <w:lang w:val="en-US"/>
        </w:rPr>
        <w:t xml:space="preserve">, president of </w:t>
      </w:r>
      <w:proofErr w:type="spellStart"/>
      <w:r>
        <w:rPr>
          <w:rFonts w:ascii="Arial" w:hAnsi="Arial" w:cs="Arial"/>
          <w:b/>
          <w:bCs/>
          <w:lang w:val="en-US"/>
        </w:rPr>
        <w:t>AIBEc</w:t>
      </w:r>
      <w:proofErr w:type="spellEnd"/>
      <w:r w:rsidR="0061700E">
        <w:rPr>
          <w:rFonts w:ascii="Arial" w:hAnsi="Arial" w:cs="Arial"/>
          <w:b/>
          <w:bCs/>
          <w:lang w:val="en-US"/>
        </w:rPr>
        <w:t xml:space="preserve"> and professor of Accounting</w:t>
      </w:r>
      <w:r w:rsidR="003D3765">
        <w:rPr>
          <w:rFonts w:ascii="Arial" w:hAnsi="Arial" w:cs="Arial"/>
          <w:b/>
          <w:bCs/>
          <w:lang w:val="en-US"/>
        </w:rPr>
        <w:t xml:space="preserve">. </w:t>
      </w:r>
    </w:p>
    <w:p w:rsidR="00B12420" w:rsidRPr="003D3765" w:rsidRDefault="003D3765" w:rsidP="0091262A">
      <w:pPr>
        <w:jc w:val="both"/>
        <w:rPr>
          <w:rFonts w:ascii="Arial" w:hAnsi="Arial" w:cs="Arial"/>
          <w:b/>
          <w:bCs/>
          <w:color w:val="FF0000"/>
          <w:lang w:val="en-US"/>
        </w:rPr>
      </w:pPr>
      <w:r>
        <w:rPr>
          <w:rFonts w:ascii="Arial" w:hAnsi="Arial" w:cs="Arial"/>
          <w:b/>
          <w:bCs/>
          <w:color w:val="FF0000"/>
          <w:lang w:val="en-US"/>
        </w:rPr>
        <w:t xml:space="preserve">Voted Professor of the Year by </w:t>
      </w:r>
      <w:proofErr w:type="spellStart"/>
      <w:r>
        <w:rPr>
          <w:rFonts w:ascii="Arial" w:hAnsi="Arial" w:cs="Arial"/>
          <w:b/>
          <w:bCs/>
          <w:color w:val="FF0000"/>
          <w:lang w:val="en-US"/>
        </w:rPr>
        <w:t>AIBEc</w:t>
      </w:r>
      <w:proofErr w:type="spellEnd"/>
      <w:r>
        <w:rPr>
          <w:rFonts w:ascii="Arial" w:hAnsi="Arial" w:cs="Arial"/>
          <w:b/>
          <w:bCs/>
          <w:color w:val="FF0000"/>
          <w:lang w:val="en-US"/>
        </w:rPr>
        <w:t xml:space="preserve"> Students </w:t>
      </w:r>
    </w:p>
    <w:p w:rsidR="00B12420" w:rsidRDefault="00B12420" w:rsidP="0091262A">
      <w:pPr>
        <w:jc w:val="both"/>
        <w:rPr>
          <w:rFonts w:ascii="Arial" w:hAnsi="Arial" w:cs="Arial"/>
          <w:b/>
          <w:bCs/>
          <w:lang w:val="en-US"/>
        </w:rPr>
      </w:pPr>
      <w:r>
        <w:rPr>
          <w:rFonts w:ascii="Arial" w:hAnsi="Arial" w:cs="Arial"/>
          <w:b/>
          <w:bCs/>
          <w:lang w:val="en-US"/>
        </w:rPr>
        <w:t xml:space="preserve">Art is currently the president of The American Institute of Business and Economics in Moscow </w:t>
      </w:r>
      <w:r w:rsidR="00C77287">
        <w:rPr>
          <w:rFonts w:ascii="Arial" w:hAnsi="Arial" w:cs="Arial"/>
          <w:b/>
          <w:bCs/>
          <w:lang w:val="en-US"/>
        </w:rPr>
        <w:t>(an</w:t>
      </w:r>
      <w:r>
        <w:rPr>
          <w:rFonts w:ascii="Arial" w:hAnsi="Arial" w:cs="Arial"/>
          <w:b/>
          <w:bCs/>
          <w:lang w:val="en-US"/>
        </w:rPr>
        <w:t xml:space="preserve"> English language MBA program that was founded in 1989). He holds degrees in History and Political Science in addition to an </w:t>
      </w:r>
      <w:r w:rsidR="00C77287">
        <w:rPr>
          <w:rFonts w:ascii="Arial" w:hAnsi="Arial" w:cs="Arial"/>
          <w:b/>
          <w:bCs/>
          <w:lang w:val="en-US"/>
        </w:rPr>
        <w:t>MBA,</w:t>
      </w:r>
      <w:r>
        <w:rPr>
          <w:rFonts w:ascii="Arial" w:hAnsi="Arial" w:cs="Arial"/>
          <w:b/>
          <w:bCs/>
          <w:lang w:val="en-US"/>
        </w:rPr>
        <w:t xml:space="preserve"> CPA and a Masters of Taxation. In addition to managing AIBEc he teaches courses in IFRS, Taxation and Cost Management. He has served as a consultant for the Russian Central Bank (IAS 39), the World Bank(on implementing IFRS in Russia), The Bank of Albania (implementing IFRS and IAS 39) and has written many articles on IFRS, Customs and Taxation issues in addition to a book on IFRS.</w:t>
      </w:r>
      <w:r w:rsidR="00C77287">
        <w:rPr>
          <w:rFonts w:ascii="Arial" w:hAnsi="Arial" w:cs="Arial"/>
          <w:b/>
          <w:bCs/>
          <w:lang w:val="en-US"/>
        </w:rPr>
        <w:t xml:space="preserve"> </w:t>
      </w:r>
      <w:r w:rsidR="00F8507D">
        <w:rPr>
          <w:rFonts w:ascii="Arial" w:hAnsi="Arial" w:cs="Arial"/>
          <w:b/>
          <w:bCs/>
          <w:lang w:val="en-US"/>
        </w:rPr>
        <w:t>Art is also co-chair of t</w:t>
      </w:r>
      <w:r w:rsidR="004677AF">
        <w:rPr>
          <w:rFonts w:ascii="Arial" w:hAnsi="Arial" w:cs="Arial"/>
          <w:b/>
          <w:bCs/>
          <w:lang w:val="en-US"/>
        </w:rPr>
        <w:t>he Customs Committee at Am Cham and was awarded co-chair of the year</w:t>
      </w:r>
      <w:r w:rsidR="00D00CAD">
        <w:rPr>
          <w:rFonts w:ascii="Arial" w:hAnsi="Arial" w:cs="Arial"/>
          <w:b/>
          <w:bCs/>
          <w:lang w:val="en-US"/>
        </w:rPr>
        <w:t xml:space="preserve"> in 2002 and 2011 </w:t>
      </w:r>
      <w:r w:rsidR="004677AF">
        <w:rPr>
          <w:rFonts w:ascii="Arial" w:hAnsi="Arial" w:cs="Arial"/>
          <w:b/>
          <w:bCs/>
          <w:lang w:val="en-US"/>
        </w:rPr>
        <w:t>.</w:t>
      </w:r>
      <w:r w:rsidR="009E3D85">
        <w:rPr>
          <w:rFonts w:ascii="Arial" w:hAnsi="Arial" w:cs="Arial"/>
          <w:b/>
          <w:bCs/>
          <w:lang w:val="en-US"/>
        </w:rPr>
        <w:t xml:space="preserve"> He also coached </w:t>
      </w:r>
      <w:proofErr w:type="spellStart"/>
      <w:r w:rsidR="009E3D85">
        <w:rPr>
          <w:rFonts w:ascii="Arial" w:hAnsi="Arial" w:cs="Arial"/>
          <w:b/>
          <w:bCs/>
          <w:lang w:val="en-US"/>
        </w:rPr>
        <w:t>AIBEc</w:t>
      </w:r>
      <w:proofErr w:type="spellEnd"/>
      <w:r w:rsidR="009E3D85">
        <w:rPr>
          <w:rFonts w:ascii="Arial" w:hAnsi="Arial" w:cs="Arial"/>
          <w:b/>
          <w:bCs/>
          <w:lang w:val="en-US"/>
        </w:rPr>
        <w:t xml:space="preserve"> students to 8 first place awards in the 10 years of Am Cham MBA case competitions.</w:t>
      </w:r>
    </w:p>
    <w:p w:rsidR="00C77287" w:rsidRDefault="00C77287" w:rsidP="0091262A">
      <w:pPr>
        <w:jc w:val="both"/>
        <w:rPr>
          <w:rFonts w:ascii="Arial" w:hAnsi="Arial" w:cs="Arial"/>
          <w:b/>
          <w:bCs/>
          <w:lang w:val="en-US"/>
        </w:rPr>
      </w:pPr>
    </w:p>
    <w:p w:rsidR="00C77287" w:rsidRPr="0091262A" w:rsidRDefault="00C77287" w:rsidP="0091262A">
      <w:pPr>
        <w:jc w:val="both"/>
        <w:rPr>
          <w:rFonts w:ascii="Arial" w:hAnsi="Arial" w:cs="Arial"/>
          <w:lang w:val="en-US"/>
        </w:rPr>
      </w:pPr>
      <w:r>
        <w:rPr>
          <w:rFonts w:ascii="Arial" w:hAnsi="Arial" w:cs="Arial"/>
          <w:b/>
          <w:bCs/>
          <w:lang w:val="en-US"/>
        </w:rPr>
        <w:t>Prior to coming to AIBEc Art served as a business consultant in Togliatti after working for many years as a Corporate Tax Manager for a Fortune 1000 company.</w:t>
      </w:r>
    </w:p>
    <w:p w:rsidR="0061700E" w:rsidRPr="0091262A" w:rsidRDefault="0061700E">
      <w:pPr>
        <w:rPr>
          <w:rFonts w:ascii="Arial" w:hAnsi="Arial" w:cs="Arial"/>
          <w:lang w:val="en-US"/>
        </w:rPr>
      </w:pPr>
    </w:p>
    <w:sectPr w:rsidR="0061700E" w:rsidRPr="0091262A" w:rsidSect="00B90CBF">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98" w:rsidRDefault="004B6A98">
      <w:r>
        <w:separator/>
      </w:r>
    </w:p>
  </w:endnote>
  <w:endnote w:type="continuationSeparator" w:id="0">
    <w:p w:rsidR="004B6A98" w:rsidRDefault="004B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6C" w:rsidRDefault="00957A6C">
    <w:pPr>
      <w:pStyle w:val="Footer"/>
      <w:pBdr>
        <w:bottom w:val="single" w:sz="6" w:space="1" w:color="auto"/>
      </w:pBdr>
      <w:rPr>
        <w:lang w:val="en-US"/>
      </w:rPr>
    </w:pPr>
  </w:p>
  <w:p w:rsidR="00957A6C" w:rsidRDefault="00957A6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98" w:rsidRDefault="004B6A98">
      <w:r>
        <w:separator/>
      </w:r>
    </w:p>
  </w:footnote>
  <w:footnote w:type="continuationSeparator" w:id="0">
    <w:p w:rsidR="004B6A98" w:rsidRDefault="004B6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5076"/>
    <w:multiLevelType w:val="multilevel"/>
    <w:tmpl w:val="F1725EEC"/>
    <w:lvl w:ilvl="0">
      <w:start w:val="1"/>
      <w:numFmt w:val="none"/>
      <w:lvlText w:val=""/>
      <w:lvlJc w:val="right"/>
      <w:pPr>
        <w:tabs>
          <w:tab w:val="num" w:pos="0"/>
        </w:tabs>
        <w:ind w:hanging="280"/>
      </w:pPr>
      <w:rPr>
        <w:rFonts w:ascii="Times New Roman" w:hAnsi="Times New Roman" w:cs="Times New Roman"/>
      </w:rPr>
    </w:lvl>
    <w:lvl w:ilvl="1">
      <w:start w:val="1"/>
      <w:numFmt w:val="none"/>
      <w:lvlText w:val=""/>
      <w:lvlJc w:val="right"/>
      <w:pPr>
        <w:tabs>
          <w:tab w:val="num" w:pos="0"/>
        </w:tabs>
        <w:ind w:hanging="278"/>
      </w:pPr>
    </w:lvl>
    <w:lvl w:ilvl="2">
      <w:start w:val="1"/>
      <w:numFmt w:val="decimal"/>
      <w:lvlText w:val="%1"/>
      <w:lvlJc w:val="right"/>
      <w:pPr>
        <w:tabs>
          <w:tab w:val="num" w:pos="0"/>
        </w:tabs>
        <w:ind w:hanging="280"/>
      </w:pPr>
    </w:lvl>
    <w:lvl w:ilvl="3">
      <w:start w:val="1"/>
      <w:numFmt w:val="decimal"/>
      <w:lvlText w:val="%1"/>
      <w:lvlJc w:val="right"/>
      <w:pPr>
        <w:tabs>
          <w:tab w:val="num" w:pos="0"/>
        </w:tabs>
        <w:ind w:hanging="280"/>
      </w:pPr>
    </w:lvl>
    <w:lvl w:ilvl="4">
      <w:start w:val="1"/>
      <w:numFmt w:val="decimal"/>
      <w:lvlText w:val="%1"/>
      <w:lvlJc w:val="right"/>
      <w:pPr>
        <w:tabs>
          <w:tab w:val="num" w:pos="0"/>
        </w:tabs>
        <w:ind w:hanging="280"/>
      </w:pPr>
    </w:lvl>
    <w:lvl w:ilvl="5">
      <w:start w:val="1"/>
      <w:numFmt w:val="none"/>
      <w:lvlText w:val=""/>
      <w:lvlJc w:val="right"/>
      <w:pPr>
        <w:tabs>
          <w:tab w:val="num" w:pos="0"/>
        </w:tabs>
        <w:ind w:hanging="280"/>
      </w:pPr>
    </w:lvl>
    <w:lvl w:ilvl="6">
      <w:start w:val="1"/>
      <w:numFmt w:val="decimal"/>
      <w:lvlText w:val="%1"/>
      <w:lvlJc w:val="right"/>
      <w:pPr>
        <w:tabs>
          <w:tab w:val="num" w:pos="0"/>
        </w:tabs>
        <w:ind w:hanging="280"/>
      </w:pPr>
    </w:lvl>
    <w:lvl w:ilvl="7">
      <w:start w:val="1"/>
      <w:numFmt w:val="none"/>
      <w:lvlText w:val=""/>
      <w:lvlJc w:val="right"/>
      <w:pPr>
        <w:tabs>
          <w:tab w:val="num" w:pos="0"/>
        </w:tabs>
        <w:ind w:hanging="280"/>
      </w:pPr>
    </w:lvl>
    <w:lvl w:ilvl="8">
      <w:start w:val="1"/>
      <w:numFmt w:val="decimal"/>
      <w:lvlText w:val="%1"/>
      <w:lvlJc w:val="right"/>
      <w:pPr>
        <w:tabs>
          <w:tab w:val="num" w:pos="0"/>
        </w:tabs>
        <w:ind w:hanging="2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F65D4"/>
    <w:rsid w:val="001305E8"/>
    <w:rsid w:val="00135BF7"/>
    <w:rsid w:val="001A4736"/>
    <w:rsid w:val="001B5654"/>
    <w:rsid w:val="001C52C2"/>
    <w:rsid w:val="00242B74"/>
    <w:rsid w:val="003D1AD8"/>
    <w:rsid w:val="003D3765"/>
    <w:rsid w:val="00463108"/>
    <w:rsid w:val="004677AF"/>
    <w:rsid w:val="00485DBF"/>
    <w:rsid w:val="004B2D1C"/>
    <w:rsid w:val="004B6A98"/>
    <w:rsid w:val="004C1111"/>
    <w:rsid w:val="004D355F"/>
    <w:rsid w:val="00547066"/>
    <w:rsid w:val="00555133"/>
    <w:rsid w:val="00556975"/>
    <w:rsid w:val="005C789B"/>
    <w:rsid w:val="005D696C"/>
    <w:rsid w:val="006029C9"/>
    <w:rsid w:val="0061700E"/>
    <w:rsid w:val="006336A6"/>
    <w:rsid w:val="00636EB7"/>
    <w:rsid w:val="00654609"/>
    <w:rsid w:val="006B7035"/>
    <w:rsid w:val="006F65D4"/>
    <w:rsid w:val="00715960"/>
    <w:rsid w:val="00746051"/>
    <w:rsid w:val="007833A8"/>
    <w:rsid w:val="00791479"/>
    <w:rsid w:val="00796961"/>
    <w:rsid w:val="00817892"/>
    <w:rsid w:val="00854836"/>
    <w:rsid w:val="008F737C"/>
    <w:rsid w:val="0091262A"/>
    <w:rsid w:val="00927160"/>
    <w:rsid w:val="00957A6C"/>
    <w:rsid w:val="00971F81"/>
    <w:rsid w:val="009E3D85"/>
    <w:rsid w:val="00A26515"/>
    <w:rsid w:val="00A56855"/>
    <w:rsid w:val="00A67EF4"/>
    <w:rsid w:val="00B05C8E"/>
    <w:rsid w:val="00B12420"/>
    <w:rsid w:val="00B25C60"/>
    <w:rsid w:val="00B90CBF"/>
    <w:rsid w:val="00C03F32"/>
    <w:rsid w:val="00C77287"/>
    <w:rsid w:val="00CA6D11"/>
    <w:rsid w:val="00CF66AD"/>
    <w:rsid w:val="00D00CAD"/>
    <w:rsid w:val="00E26ECB"/>
    <w:rsid w:val="00E45DFF"/>
    <w:rsid w:val="00ED73B3"/>
    <w:rsid w:val="00F11E0D"/>
    <w:rsid w:val="00F160A0"/>
    <w:rsid w:val="00F1772A"/>
    <w:rsid w:val="00F427EA"/>
    <w:rsid w:val="00F4418C"/>
    <w:rsid w:val="00F56E0A"/>
    <w:rsid w:val="00F816FD"/>
    <w:rsid w:val="00F8507D"/>
    <w:rsid w:val="00FC2401"/>
    <w:rsid w:val="00FC6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BF"/>
    <w:rPr>
      <w:sz w:val="24"/>
      <w:szCs w:val="24"/>
      <w:lang w:val="en-GB"/>
    </w:rPr>
  </w:style>
  <w:style w:type="paragraph" w:styleId="Heading2">
    <w:name w:val="heading 2"/>
    <w:basedOn w:val="Normal"/>
    <w:next w:val="Normal"/>
    <w:qFormat/>
    <w:rsid w:val="006B7035"/>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CBF"/>
    <w:pPr>
      <w:tabs>
        <w:tab w:val="center" w:pos="4844"/>
        <w:tab w:val="right" w:pos="9689"/>
      </w:tabs>
    </w:pPr>
  </w:style>
  <w:style w:type="paragraph" w:styleId="Footer">
    <w:name w:val="footer"/>
    <w:basedOn w:val="Normal"/>
    <w:rsid w:val="00B90CBF"/>
    <w:pPr>
      <w:tabs>
        <w:tab w:val="center" w:pos="4844"/>
        <w:tab w:val="right" w:pos="9689"/>
      </w:tabs>
    </w:pPr>
  </w:style>
  <w:style w:type="paragraph" w:styleId="DocumentMap">
    <w:name w:val="Document Map"/>
    <w:basedOn w:val="Normal"/>
    <w:semiHidden/>
    <w:rsid w:val="00CA6D11"/>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9E3D85"/>
    <w:rPr>
      <w:rFonts w:ascii="Tahoma" w:hAnsi="Tahoma" w:cs="Tahoma"/>
      <w:sz w:val="16"/>
      <w:szCs w:val="16"/>
    </w:rPr>
  </w:style>
  <w:style w:type="character" w:customStyle="1" w:styleId="BalloonTextChar">
    <w:name w:val="Balloon Text Char"/>
    <w:basedOn w:val="DefaultParagraphFont"/>
    <w:link w:val="BalloonText"/>
    <w:uiPriority w:val="99"/>
    <w:semiHidden/>
    <w:rsid w:val="009E3D8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6B68-FB09-4E66-B7CF-59F43A07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903</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Билл Генри</vt:lpstr>
    </vt:vector>
  </TitlesOfParts>
  <Company>PricewaterhouseCoopers</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Билл Генри</dc:title>
  <dc:creator>bbb</dc:creator>
  <cp:lastModifiedBy>afranczek</cp:lastModifiedBy>
  <cp:revision>6</cp:revision>
  <cp:lastPrinted>2009-01-12T15:52:00Z</cp:lastPrinted>
  <dcterms:created xsi:type="dcterms:W3CDTF">2012-09-07T14:41:00Z</dcterms:created>
  <dcterms:modified xsi:type="dcterms:W3CDTF">2013-03-14T06:37:00Z</dcterms:modified>
</cp:coreProperties>
</file>